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F" w:rsidRDefault="0013753F"/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Заявка для проведения мероприятий и работ по аудиту</w:t>
      </w:r>
      <w:r w:rsidR="008C01FE" w:rsidRPr="00A7724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Вашей компании для целей определения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возможности получения статус</w:t>
      </w:r>
      <w:r w:rsidR="006F4465"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</w:p>
    <w:p w:rsidR="008C01FE" w:rsidRDefault="006F4465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Уполномоченного экономического оператора (УЭО)</w:t>
      </w:r>
    </w:p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1321"/>
        <w:gridCol w:w="5929"/>
        <w:gridCol w:w="2856"/>
      </w:tblGrid>
      <w:tr w:rsidR="00AB61D5" w:rsidRPr="00DE616E" w:rsidTr="00177E2A">
        <w:tc>
          <w:tcPr>
            <w:tcW w:w="1321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1.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8785" w:type="dxa"/>
            <w:gridSpan w:val="2"/>
          </w:tcPr>
          <w:p w:rsidR="00AB61D5" w:rsidRPr="00AB61D5" w:rsidRDefault="00AB61D5" w:rsidP="00AB61D5">
            <w:pPr>
              <w:pStyle w:val="a9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Для получения любого статуса просим Вас предоставить следующие сведения</w:t>
            </w:r>
          </w:p>
        </w:tc>
      </w:tr>
      <w:tr w:rsidR="00AB61D5" w:rsidRPr="00DE616E" w:rsidTr="00177E2A">
        <w:tc>
          <w:tcPr>
            <w:tcW w:w="1321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1.2.</w:t>
            </w:r>
          </w:p>
        </w:tc>
        <w:tc>
          <w:tcPr>
            <w:tcW w:w="592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Полное наименование организации (необязательно)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1.3.</w:t>
            </w:r>
          </w:p>
        </w:tc>
        <w:tc>
          <w:tcPr>
            <w:tcW w:w="592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ИНН, ОГРН (не обязательно)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1.4.</w:t>
            </w:r>
          </w:p>
        </w:tc>
        <w:tc>
          <w:tcPr>
            <w:tcW w:w="592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Дата регистрации компании в реестре ЕГРЮЛ или указание срока деятельности в годах и месяцах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1.5.</w:t>
            </w:r>
          </w:p>
        </w:tc>
        <w:tc>
          <w:tcPr>
            <w:tcW w:w="592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А</w:t>
            </w:r>
            <w:r w:rsidRPr="00AB61D5">
              <w:rPr>
                <w:rFonts w:ascii="Times New Roman" w:hAnsi="Times New Roman" w:cs="Times New Roman"/>
                <w:color w:val="002060"/>
              </w:rPr>
              <w:t>дминистративно-правовая форма (ООО, ПАО)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1.6.</w:t>
            </w:r>
          </w:p>
        </w:tc>
        <w:tc>
          <w:tcPr>
            <w:tcW w:w="592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Срок осуществления деятельности в сфере таможенного дела или в качестве участника внешнеэкономической деятельности (ВЭД)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1.7.</w:t>
            </w:r>
          </w:p>
        </w:tc>
        <w:tc>
          <w:tcPr>
            <w:tcW w:w="592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Наличие/отсутствие дел об административных правонарушениях в сфере таможенного дела в соответствии с главой 16 КоАП РФ</w:t>
            </w:r>
            <w:r>
              <w:rPr>
                <w:rFonts w:ascii="Times New Roman" w:hAnsi="Times New Roman" w:cs="Times New Roman"/>
                <w:color w:val="002060"/>
              </w:rPr>
              <w:t>, укажите пожалуйста количество постановлений об АП, вступивших в силу, дату вынесения, дату вступления в силу, номер статьи</w:t>
            </w:r>
          </w:p>
        </w:tc>
        <w:tc>
          <w:tcPr>
            <w:tcW w:w="2856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17A94" w:rsidRPr="00DE616E" w:rsidTr="00177E2A">
        <w:tc>
          <w:tcPr>
            <w:tcW w:w="1321" w:type="dxa"/>
          </w:tcPr>
          <w:p w:rsidR="00817A94" w:rsidRDefault="00817A94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1.8.</w:t>
            </w:r>
          </w:p>
        </w:tc>
        <w:tc>
          <w:tcPr>
            <w:tcW w:w="5929" w:type="dxa"/>
            <w:vAlign w:val="center"/>
          </w:tcPr>
          <w:p w:rsidR="00817A94" w:rsidRPr="00DE616E" w:rsidRDefault="00817A94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задолженности по уплате таможенных платежей, штрафов и пеней</w:t>
            </w:r>
          </w:p>
        </w:tc>
        <w:tc>
          <w:tcPr>
            <w:tcW w:w="2856" w:type="dxa"/>
          </w:tcPr>
          <w:p w:rsidR="00817A94" w:rsidRPr="00DE616E" w:rsidRDefault="00817A94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177E2A">
        <w:tc>
          <w:tcPr>
            <w:tcW w:w="1321" w:type="dxa"/>
          </w:tcPr>
          <w:p w:rsidR="00AB61D5" w:rsidRDefault="00177E2A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AB61D5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8785" w:type="dxa"/>
            <w:gridSpan w:val="2"/>
          </w:tcPr>
          <w:p w:rsidR="00AB61D5" w:rsidRPr="00DE616E" w:rsidRDefault="00755E1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Заполняется </w:t>
            </w:r>
            <w:r w:rsidR="00AB61D5">
              <w:rPr>
                <w:rFonts w:ascii="Times New Roman" w:hAnsi="Times New Roman" w:cs="Times New Roman"/>
                <w:b/>
                <w:color w:val="002060"/>
              </w:rPr>
              <w:t>для рассмотрения возможности</w:t>
            </w:r>
            <w:r w:rsidR="00AB61D5"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 w:rsidR="00AB61D5"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="00AB61D5"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</w:t>
            </w:r>
            <w:r w:rsidR="00AB61D5">
              <w:rPr>
                <w:rFonts w:ascii="Times New Roman" w:hAnsi="Times New Roman" w:cs="Times New Roman"/>
                <w:b/>
                <w:color w:val="002060"/>
              </w:rPr>
              <w:t>уполномоченных экономических операторов (УЭО)</w:t>
            </w:r>
          </w:p>
        </w:tc>
      </w:tr>
      <w:tr w:rsidR="00AB61D5" w:rsidRPr="00DE616E" w:rsidTr="00177E2A">
        <w:tc>
          <w:tcPr>
            <w:tcW w:w="1321" w:type="dxa"/>
          </w:tcPr>
          <w:p w:rsidR="00AB61D5" w:rsidRPr="00722485" w:rsidRDefault="00177E2A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</w:t>
            </w:r>
          </w:p>
        </w:tc>
        <w:tc>
          <w:tcPr>
            <w:tcW w:w="5929" w:type="dxa"/>
          </w:tcPr>
          <w:p w:rsidR="00AB61D5" w:rsidRPr="00DE616E" w:rsidRDefault="00AB61D5" w:rsidP="008310B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22485">
              <w:rPr>
                <w:rFonts w:ascii="Times New Roman" w:hAnsi="Times New Roman" w:cs="Times New Roman"/>
                <w:color w:val="002060"/>
              </w:rPr>
              <w:t>Наличие в аренде или собственности открытых площадок и/или складских помещений, находящихся в аренде или собственности (</w:t>
            </w:r>
            <w:r w:rsidR="008310B8">
              <w:rPr>
                <w:rFonts w:ascii="Times New Roman" w:hAnsi="Times New Roman" w:cs="Times New Roman"/>
                <w:color w:val="002060"/>
              </w:rPr>
              <w:t>срок заключение договора аренды должен быть не менее 1 года)</w:t>
            </w:r>
            <w:r w:rsidRPr="00722485">
              <w:rPr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2856" w:type="dxa"/>
          </w:tcPr>
          <w:p w:rsidR="00AB61D5" w:rsidRPr="00DE616E" w:rsidRDefault="00AB61D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96F55" w:rsidRPr="00DE616E" w:rsidTr="00177E2A">
        <w:tc>
          <w:tcPr>
            <w:tcW w:w="1321" w:type="dxa"/>
          </w:tcPr>
          <w:p w:rsidR="00996F55" w:rsidRDefault="00177E2A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2.2</w:t>
            </w:r>
          </w:p>
        </w:tc>
        <w:tc>
          <w:tcPr>
            <w:tcW w:w="5929" w:type="dxa"/>
          </w:tcPr>
          <w:p w:rsidR="00996F55" w:rsidRPr="00722485" w:rsidRDefault="00996F55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наименование таможни в регионе деятельности, которых УЭО будет осуществлять свою деятельность</w:t>
            </w:r>
          </w:p>
        </w:tc>
        <w:tc>
          <w:tcPr>
            <w:tcW w:w="2856" w:type="dxa"/>
          </w:tcPr>
          <w:p w:rsidR="00996F55" w:rsidRPr="00DE616E" w:rsidRDefault="00996F5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C2A3C" w:rsidRPr="00DE616E" w:rsidTr="00177E2A">
        <w:tc>
          <w:tcPr>
            <w:tcW w:w="1321" w:type="dxa"/>
          </w:tcPr>
          <w:p w:rsidR="004C2A3C" w:rsidRDefault="00177E2A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2.3</w:t>
            </w:r>
          </w:p>
        </w:tc>
        <w:tc>
          <w:tcPr>
            <w:tcW w:w="5929" w:type="dxa"/>
          </w:tcPr>
          <w:p w:rsidR="004C2A3C" w:rsidRDefault="004C2A3C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налоговой задолженности</w:t>
            </w:r>
          </w:p>
        </w:tc>
        <w:tc>
          <w:tcPr>
            <w:tcW w:w="2856" w:type="dxa"/>
          </w:tcPr>
          <w:p w:rsidR="004C2A3C" w:rsidRPr="00DE616E" w:rsidRDefault="004C2A3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55E18" w:rsidRPr="00DE616E" w:rsidTr="00177E2A">
        <w:tc>
          <w:tcPr>
            <w:tcW w:w="1321" w:type="dxa"/>
          </w:tcPr>
          <w:p w:rsidR="00755E18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="00755E18">
              <w:rPr>
                <w:rFonts w:ascii="Times New Roman" w:hAnsi="Times New Roman" w:cs="Times New Roman"/>
                <w:color w:val="002060"/>
              </w:rPr>
              <w:t>.4</w:t>
            </w:r>
          </w:p>
        </w:tc>
        <w:tc>
          <w:tcPr>
            <w:tcW w:w="5929" w:type="dxa"/>
          </w:tcPr>
          <w:p w:rsidR="00755E18" w:rsidRDefault="00755E18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уголовных дел, возбужденных в отношении акционеров, руководителей и главных бухгалтеров компании</w:t>
            </w:r>
          </w:p>
        </w:tc>
        <w:tc>
          <w:tcPr>
            <w:tcW w:w="2856" w:type="dxa"/>
          </w:tcPr>
          <w:p w:rsidR="00755E18" w:rsidRPr="00DE616E" w:rsidRDefault="00755E1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55E18" w:rsidRPr="00DE616E" w:rsidTr="00177E2A">
        <w:tc>
          <w:tcPr>
            <w:tcW w:w="1321" w:type="dxa"/>
          </w:tcPr>
          <w:p w:rsidR="00755E18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="00755E18">
              <w:rPr>
                <w:rFonts w:ascii="Times New Roman" w:hAnsi="Times New Roman" w:cs="Times New Roman"/>
                <w:color w:val="002060"/>
              </w:rPr>
              <w:t>.5</w:t>
            </w:r>
          </w:p>
        </w:tc>
        <w:tc>
          <w:tcPr>
            <w:tcW w:w="5929" w:type="dxa"/>
          </w:tcPr>
          <w:p w:rsidR="00755E18" w:rsidRDefault="00755E18" w:rsidP="00755E1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Срок </w:t>
            </w:r>
            <w:r w:rsidRPr="00755E18">
              <w:rPr>
                <w:rFonts w:ascii="Times New Roman" w:hAnsi="Times New Roman" w:cs="Times New Roman"/>
                <w:color w:val="002060"/>
              </w:rPr>
              <w:t>осуществлени</w:t>
            </w:r>
            <w:r>
              <w:rPr>
                <w:rFonts w:ascii="Times New Roman" w:hAnsi="Times New Roman" w:cs="Times New Roman"/>
                <w:color w:val="002060"/>
              </w:rPr>
              <w:t>я</w:t>
            </w:r>
            <w:r w:rsidRPr="00755E18">
              <w:rPr>
                <w:rFonts w:ascii="Times New Roman" w:hAnsi="Times New Roman" w:cs="Times New Roman"/>
                <w:color w:val="002060"/>
              </w:rPr>
              <w:t xml:space="preserve"> внешнеэкономической деятельности, деятельности в сфере таможенного дела в качестве таможенного представителя, владельца склада временного хранения, таможенного склада</w:t>
            </w:r>
            <w:r w:rsidR="00984043">
              <w:rPr>
                <w:rFonts w:ascii="Times New Roman" w:hAnsi="Times New Roman" w:cs="Times New Roman"/>
                <w:color w:val="002060"/>
              </w:rPr>
              <w:t xml:space="preserve"> (должен быть не менее 3 лет) и</w:t>
            </w:r>
            <w:r>
              <w:rPr>
                <w:rFonts w:ascii="Times New Roman" w:hAnsi="Times New Roman" w:cs="Times New Roman"/>
                <w:color w:val="002060"/>
              </w:rPr>
              <w:t xml:space="preserve"> таможенного перевозчика</w:t>
            </w:r>
            <w:r w:rsidR="00984043">
              <w:rPr>
                <w:rFonts w:ascii="Times New Roman" w:hAnsi="Times New Roman" w:cs="Times New Roman"/>
                <w:color w:val="002060"/>
              </w:rPr>
              <w:t xml:space="preserve"> (должен быть не менее 2 лет)</w:t>
            </w:r>
          </w:p>
        </w:tc>
        <w:tc>
          <w:tcPr>
            <w:tcW w:w="2856" w:type="dxa"/>
          </w:tcPr>
          <w:p w:rsidR="00755E18" w:rsidRPr="00DE616E" w:rsidRDefault="00755E1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55E18" w:rsidRPr="00DE616E" w:rsidTr="00177E2A">
        <w:tc>
          <w:tcPr>
            <w:tcW w:w="1321" w:type="dxa"/>
          </w:tcPr>
          <w:p w:rsidR="00755E18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="00755E18">
              <w:rPr>
                <w:rFonts w:ascii="Times New Roman" w:hAnsi="Times New Roman" w:cs="Times New Roman"/>
                <w:color w:val="002060"/>
              </w:rPr>
              <w:t>.6</w:t>
            </w:r>
          </w:p>
        </w:tc>
        <w:tc>
          <w:tcPr>
            <w:tcW w:w="5929" w:type="dxa"/>
          </w:tcPr>
          <w:p w:rsidR="00755E18" w:rsidRDefault="00177E2A" w:rsidP="00177E2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количество поданных деклараций на товары (ДТ) при осуществлении внешнеэкономической деятельности (ВЭД) и суммарную стоимость товаров, перемещаемых через таможенную границу ЕАЭС за каждый год осуществления указанной деятельности за исключением, за исключением деятельности по оказанию услуг по перевозке товаров</w:t>
            </w:r>
            <w:r w:rsidR="00984043">
              <w:rPr>
                <w:rFonts w:ascii="Times New Roman" w:hAnsi="Times New Roman" w:cs="Times New Roman"/>
                <w:color w:val="002060"/>
              </w:rPr>
              <w:t xml:space="preserve"> (должно быть не менее 10 ДТ и 500 тыс. евро)</w:t>
            </w:r>
          </w:p>
        </w:tc>
        <w:tc>
          <w:tcPr>
            <w:tcW w:w="2856" w:type="dxa"/>
          </w:tcPr>
          <w:p w:rsidR="00755E18" w:rsidRPr="00DE616E" w:rsidRDefault="00755E1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77E2A" w:rsidRPr="00DE616E" w:rsidTr="00177E2A">
        <w:tc>
          <w:tcPr>
            <w:tcW w:w="1321" w:type="dxa"/>
          </w:tcPr>
          <w:p w:rsidR="00177E2A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2.7</w:t>
            </w:r>
          </w:p>
        </w:tc>
        <w:tc>
          <w:tcPr>
            <w:tcW w:w="5929" w:type="dxa"/>
          </w:tcPr>
          <w:p w:rsidR="00177E2A" w:rsidRDefault="00177E2A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количество поданных</w:t>
            </w:r>
            <w:r>
              <w:rPr>
                <w:rFonts w:ascii="Times New Roman" w:hAnsi="Times New Roman" w:cs="Times New Roman"/>
                <w:color w:val="002060"/>
              </w:rPr>
              <w:t xml:space="preserve"> транзитных деклараций</w:t>
            </w:r>
            <w:r w:rsidR="00984043">
              <w:rPr>
                <w:rFonts w:ascii="Times New Roman" w:hAnsi="Times New Roman" w:cs="Times New Roman"/>
                <w:color w:val="002060"/>
              </w:rPr>
              <w:t xml:space="preserve"> (ТД)</w:t>
            </w:r>
            <w:r>
              <w:rPr>
                <w:rFonts w:ascii="Times New Roman" w:hAnsi="Times New Roman" w:cs="Times New Roman"/>
                <w:color w:val="002060"/>
              </w:rPr>
              <w:t xml:space="preserve"> в случае оказания услуг по перевозке товаров при осуществлении ВЭД</w:t>
            </w:r>
            <w:r w:rsidR="0098404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135C79">
              <w:rPr>
                <w:rFonts w:ascii="Times New Roman" w:hAnsi="Times New Roman" w:cs="Times New Roman"/>
                <w:color w:val="002060"/>
              </w:rPr>
              <w:t xml:space="preserve">за каждый год осуществления деятельности </w:t>
            </w:r>
            <w:r w:rsidR="00984043">
              <w:rPr>
                <w:rFonts w:ascii="Times New Roman" w:hAnsi="Times New Roman" w:cs="Times New Roman"/>
                <w:color w:val="002060"/>
              </w:rPr>
              <w:t>(должно быть не менее 250 ТД)</w:t>
            </w:r>
          </w:p>
        </w:tc>
        <w:tc>
          <w:tcPr>
            <w:tcW w:w="2856" w:type="dxa"/>
          </w:tcPr>
          <w:p w:rsidR="00177E2A" w:rsidRPr="00DE616E" w:rsidRDefault="00177E2A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77E2A" w:rsidRPr="00DE616E" w:rsidTr="00177E2A">
        <w:tc>
          <w:tcPr>
            <w:tcW w:w="1321" w:type="dxa"/>
          </w:tcPr>
          <w:p w:rsidR="00177E2A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2.8</w:t>
            </w:r>
          </w:p>
        </w:tc>
        <w:tc>
          <w:tcPr>
            <w:tcW w:w="5929" w:type="dxa"/>
          </w:tcPr>
          <w:p w:rsidR="00177E2A" w:rsidRDefault="00984043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количество поданных ДТ при осуществлении деятельности в качестве таможенного представителя и суммарную стоимость товаров, заявленных в указанных ДТ, за каждый год осуществления деятельности</w:t>
            </w:r>
            <w:r w:rsidR="00E14787">
              <w:rPr>
                <w:rFonts w:ascii="Times New Roman" w:hAnsi="Times New Roman" w:cs="Times New Roman"/>
                <w:color w:val="002060"/>
              </w:rPr>
              <w:t xml:space="preserve"> (должно быть не менее 200 ДТ и 500 тыс. евро)</w:t>
            </w:r>
          </w:p>
        </w:tc>
        <w:tc>
          <w:tcPr>
            <w:tcW w:w="2856" w:type="dxa"/>
          </w:tcPr>
          <w:p w:rsidR="00177E2A" w:rsidRPr="00DE616E" w:rsidRDefault="00177E2A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77E2A" w:rsidRPr="00DE616E" w:rsidTr="00177E2A">
        <w:tc>
          <w:tcPr>
            <w:tcW w:w="1321" w:type="dxa"/>
          </w:tcPr>
          <w:p w:rsidR="00177E2A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2.9</w:t>
            </w:r>
          </w:p>
        </w:tc>
        <w:tc>
          <w:tcPr>
            <w:tcW w:w="5929" w:type="dxa"/>
          </w:tcPr>
          <w:p w:rsidR="00177E2A" w:rsidRDefault="00135C79" w:rsidP="00135C79">
            <w:pPr>
              <w:ind w:left="708" w:hanging="708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суммарную стоимость товаров, находящихся на хранении, при осуществлении деятельности в качестве владельцев складов временного хранения (СВХ) или таможенных складов за каждый год осуществления этой деятельности (должно быть не менее 500 тыс. евро)</w:t>
            </w:r>
          </w:p>
        </w:tc>
        <w:tc>
          <w:tcPr>
            <w:tcW w:w="2856" w:type="dxa"/>
          </w:tcPr>
          <w:p w:rsidR="00177E2A" w:rsidRPr="00DE616E" w:rsidRDefault="00177E2A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77E2A" w:rsidRPr="00DE616E" w:rsidTr="00177E2A">
        <w:tc>
          <w:tcPr>
            <w:tcW w:w="1321" w:type="dxa"/>
          </w:tcPr>
          <w:p w:rsidR="00177E2A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2.10</w:t>
            </w:r>
          </w:p>
        </w:tc>
        <w:tc>
          <w:tcPr>
            <w:tcW w:w="5929" w:type="dxa"/>
          </w:tcPr>
          <w:p w:rsidR="00177E2A" w:rsidRDefault="00135C79" w:rsidP="00135C7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Укажите пожалуйста количество поданных транзитных деклараций (ТД) при осуществлении </w:t>
            </w:r>
            <w:r>
              <w:rPr>
                <w:rFonts w:ascii="Times New Roman" w:hAnsi="Times New Roman" w:cs="Times New Roman"/>
                <w:color w:val="002060"/>
              </w:rPr>
              <w:t>деятельности в качестве таможенного перевозчика за каждый год осуществления деятельности</w:t>
            </w:r>
            <w:r>
              <w:rPr>
                <w:rFonts w:ascii="Times New Roman" w:hAnsi="Times New Roman" w:cs="Times New Roman"/>
                <w:color w:val="002060"/>
              </w:rPr>
              <w:t xml:space="preserve"> (должно быть не менее 250 ТД)</w:t>
            </w:r>
          </w:p>
        </w:tc>
        <w:tc>
          <w:tcPr>
            <w:tcW w:w="2856" w:type="dxa"/>
          </w:tcPr>
          <w:p w:rsidR="00177E2A" w:rsidRPr="00DE616E" w:rsidRDefault="00177E2A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77E2A" w:rsidRPr="00DE616E" w:rsidTr="00177E2A">
        <w:tc>
          <w:tcPr>
            <w:tcW w:w="1321" w:type="dxa"/>
          </w:tcPr>
          <w:p w:rsidR="00177E2A" w:rsidRDefault="00177E2A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2.11</w:t>
            </w:r>
          </w:p>
        </w:tc>
        <w:tc>
          <w:tcPr>
            <w:tcW w:w="5929" w:type="dxa"/>
          </w:tcPr>
          <w:p w:rsidR="00177E2A" w:rsidRDefault="00160D44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системы учета товаров (если есть, указать какая)</w:t>
            </w:r>
          </w:p>
        </w:tc>
        <w:tc>
          <w:tcPr>
            <w:tcW w:w="2856" w:type="dxa"/>
          </w:tcPr>
          <w:p w:rsidR="00177E2A" w:rsidRPr="00DE616E" w:rsidRDefault="00177E2A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5716" w:rsidRPr="00DE616E" w:rsidTr="002B19D8">
        <w:tc>
          <w:tcPr>
            <w:tcW w:w="10106" w:type="dxa"/>
            <w:gridSpan w:val="3"/>
          </w:tcPr>
          <w:p w:rsidR="00ED5716" w:rsidRDefault="00944437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3. </w:t>
            </w:r>
            <w:r w:rsidR="00ED5716">
              <w:rPr>
                <w:rFonts w:ascii="Times New Roman" w:hAnsi="Times New Roman" w:cs="Times New Roman"/>
                <w:b/>
                <w:color w:val="002060"/>
              </w:rPr>
              <w:t xml:space="preserve">В случае, если Вы не хотите предоставлять обеспечение уплаты таможенных платежей при включении в реестр УЭО, то у Вас есть возможность подтверждения финансовой устойчивости компании путем соответствия критериям, утвержденным Евразийской экономической комиссией. </w:t>
            </w:r>
          </w:p>
          <w:p w:rsidR="00ED5716" w:rsidRDefault="00ED5716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Всего требуется набрать 50 баллов за счет абсолютных показателей финансовой устойчивости. Также можно добрать баллы с помощью расчёта относительных показателей финансовой устойчивости.</w:t>
            </w:r>
          </w:p>
          <w:p w:rsidR="00CA44DF" w:rsidRPr="00CA44DF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Таким образом </w:t>
            </w:r>
            <w:r w:rsidRPr="00CA44DF">
              <w:rPr>
                <w:rFonts w:ascii="Times New Roman" w:hAnsi="Times New Roman" w:cs="Times New Roman"/>
                <w:b/>
                <w:color w:val="002060"/>
              </w:rPr>
              <w:t>Совокупный показатель (СП</w:t>
            </w:r>
            <w:r w:rsidRPr="00CA44DF">
              <w:rPr>
                <w:rFonts w:ascii="Times New Roman" w:hAnsi="Times New Roman" w:cs="Times New Roman"/>
                <w:b/>
                <w:color w:val="002060"/>
                <w:vertAlign w:val="subscript"/>
              </w:rPr>
              <w:t>УЭО</w:t>
            </w:r>
            <w:r w:rsidRPr="00CA44DF">
              <w:rPr>
                <w:rFonts w:ascii="Times New Roman" w:hAnsi="Times New Roman" w:cs="Times New Roman"/>
                <w:b/>
                <w:color w:val="002060"/>
              </w:rPr>
              <w:t>)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должен быть=</w:t>
            </w:r>
            <w:r w:rsidRPr="00CA44DF">
              <w:rPr>
                <w:rFonts w:ascii="Times New Roman" w:hAnsi="Times New Roman" w:cs="Times New Roman"/>
                <w:b/>
                <w:color w:val="002060"/>
              </w:rPr>
              <w:t xml:space="preserve">&gt;50 </w:t>
            </w:r>
            <w:r>
              <w:rPr>
                <w:rFonts w:ascii="Times New Roman" w:hAnsi="Times New Roman" w:cs="Times New Roman"/>
                <w:b/>
                <w:color w:val="002060"/>
              </w:rPr>
              <w:t>баллов.</w:t>
            </w:r>
          </w:p>
          <w:p w:rsidR="00CA44DF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Каждый показатель рассчитывается в балах за каждый год с вычислением среднего бала каждого коэффициента по форме:</w:t>
            </w:r>
          </w:p>
          <w:p w:rsidR="00CA44DF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12"/>
              <w:gridCol w:w="1812"/>
              <w:gridCol w:w="1812"/>
              <w:gridCol w:w="1812"/>
              <w:gridCol w:w="1814"/>
            </w:tblGrid>
            <w:tr w:rsidR="00CA44DF" w:rsidTr="00B02E83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Значение за 1-й год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Значение за 2-й год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Значение за 3-й год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Среднее значение за 3 года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Значимость в баллах</w:t>
                  </w:r>
                </w:p>
              </w:tc>
            </w:tr>
            <w:tr w:rsidR="00CA44DF" w:rsidTr="00B02E83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CA44DF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A44DF" w:rsidRPr="00CA44DF" w:rsidRDefault="00CA44DF" w:rsidP="00CA44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Совокупный показатель (СП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УЭО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(в баллах) рассчитывается по следующей формуле:</w:t>
            </w:r>
          </w:p>
          <w:p w:rsidR="00CA44DF" w:rsidRPr="00CA44DF" w:rsidRDefault="00CA44DF" w:rsidP="00CA44DF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CA44DF" w:rsidRPr="00CA44DF" w:rsidRDefault="00CA44DF" w:rsidP="00CA44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СП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уэо</w:t>
            </w:r>
            <w:proofErr w:type="spellEnd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= </w:t>
            </w: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ча</w:t>
            </w:r>
            <w:proofErr w:type="spellEnd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ук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ос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а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ол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рск</w:t>
            </w:r>
            <w:proofErr w:type="spellEnd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фу</w:t>
            </w:r>
            <w:proofErr w:type="spellEnd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отд</w:t>
            </w:r>
            <w:proofErr w:type="spellEnd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CA44DF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мск</w:t>
            </w:r>
            <w:proofErr w:type="spellEnd"/>
          </w:p>
          <w:p w:rsidR="00CA44DF" w:rsidRDefault="00CA44DF" w:rsidP="00CA44DF">
            <w:pPr>
              <w:pStyle w:val="ConsPlusNormal"/>
              <w:jc w:val="both"/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775"/>
              <w:gridCol w:w="775"/>
              <w:gridCol w:w="775"/>
              <w:gridCol w:w="775"/>
              <w:gridCol w:w="775"/>
              <w:gridCol w:w="775"/>
              <w:gridCol w:w="775"/>
              <w:gridCol w:w="778"/>
              <w:gridCol w:w="2041"/>
            </w:tblGrid>
            <w:tr w:rsidR="00CA44DF" w:rsidRPr="00CA44DF" w:rsidTr="00B02E83">
              <w:tc>
                <w:tcPr>
                  <w:tcW w:w="69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Значимость показателя в баллах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Совокупный показатель</w:t>
                  </w:r>
                </w:p>
              </w:tc>
            </w:tr>
            <w:tr w:rsidR="00CA44DF" w:rsidRPr="00CA44DF" w:rsidTr="00B02E83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proofErr w:type="spellStart"/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ча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ук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ос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ол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proofErr w:type="spellStart"/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рск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proofErr w:type="spellStart"/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фу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proofErr w:type="spellStart"/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отд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proofErr w:type="spellStart"/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К</w:t>
                  </w:r>
                  <w:r w:rsidRPr="00CA44DF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  <w:vertAlign w:val="subscript"/>
                    </w:rPr>
                    <w:t>мск</w:t>
                  </w:r>
                  <w:proofErr w:type="spellEnd"/>
                </w:p>
              </w:tc>
              <w:tc>
                <w:tcPr>
                  <w:tcW w:w="2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CA44DF" w:rsidRPr="00CA44DF" w:rsidTr="00B02E83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4DF" w:rsidRPr="00CA44DF" w:rsidRDefault="00CA44DF" w:rsidP="00CA44DF">
                  <w:pPr>
                    <w:pStyle w:val="ConsPlusNormal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CA44DF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A44DF" w:rsidRPr="00DE616E" w:rsidRDefault="00CA44DF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5716" w:rsidRPr="00DE616E" w:rsidTr="00265D12">
        <w:tc>
          <w:tcPr>
            <w:tcW w:w="10106" w:type="dxa"/>
            <w:gridSpan w:val="3"/>
          </w:tcPr>
          <w:p w:rsidR="00ED5716" w:rsidRDefault="00ED5716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D5716">
              <w:rPr>
                <w:rFonts w:ascii="Times New Roman" w:hAnsi="Times New Roman" w:cs="Times New Roman"/>
                <w:b/>
                <w:color w:val="002060"/>
              </w:rPr>
              <w:t>Абсолютные показатели финансовой устойчивости УЭО</w:t>
            </w:r>
          </w:p>
          <w:p w:rsidR="005826B8" w:rsidRPr="005826B8" w:rsidRDefault="005826B8" w:rsidP="005826B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826B8">
              <w:rPr>
                <w:rFonts w:ascii="Times New Roman" w:hAnsi="Times New Roman" w:cs="Times New Roman"/>
                <w:b/>
                <w:color w:val="002060"/>
              </w:rPr>
              <w:t>Примечание. В расчет</w:t>
            </w:r>
            <w:r>
              <w:rPr>
                <w:rFonts w:ascii="Times New Roman" w:hAnsi="Times New Roman" w:cs="Times New Roman"/>
                <w:b/>
                <w:color w:val="002060"/>
              </w:rPr>
              <w:t>ах</w:t>
            </w:r>
            <w:r w:rsidRPr="005826B8">
              <w:rPr>
                <w:rFonts w:ascii="Times New Roman" w:hAnsi="Times New Roman" w:cs="Times New Roman"/>
                <w:b/>
                <w:color w:val="002060"/>
              </w:rPr>
              <w:t xml:space="preserve"> указаны коды строк формы бухгалтерского баланса, утвержденной приказом Министерства финансов Российской Федерации от 2 июля 2010 г. N 66н.</w:t>
            </w:r>
          </w:p>
          <w:p w:rsidR="005826B8" w:rsidRPr="00ED5716" w:rsidRDefault="005826B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03DC" w:rsidRPr="00DE616E" w:rsidTr="00177E2A">
        <w:tc>
          <w:tcPr>
            <w:tcW w:w="1321" w:type="dxa"/>
          </w:tcPr>
          <w:p w:rsidR="00ED03DC" w:rsidRDefault="00944437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  <w:r w:rsidR="00CA44DF">
              <w:rPr>
                <w:rFonts w:ascii="Times New Roman" w:hAnsi="Times New Roman" w:cs="Times New Roman"/>
                <w:color w:val="002060"/>
              </w:rPr>
              <w:t>.12</w:t>
            </w:r>
          </w:p>
        </w:tc>
        <w:tc>
          <w:tcPr>
            <w:tcW w:w="5929" w:type="dxa"/>
          </w:tcPr>
          <w:p w:rsid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Укажите пожалуйста </w:t>
            </w:r>
            <w:r w:rsidRPr="00ED03DC">
              <w:rPr>
                <w:rFonts w:ascii="Times New Roman" w:hAnsi="Times New Roman" w:cs="Times New Roman"/>
                <w:color w:val="002060"/>
              </w:rPr>
              <w:t>Размер чистых активов (</w:t>
            </w:r>
            <w:proofErr w:type="spellStart"/>
            <w:r w:rsidRPr="00ED03DC"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 w:rsidRPr="00ED03DC">
              <w:rPr>
                <w:rFonts w:ascii="Times New Roman" w:hAnsi="Times New Roman" w:cs="Times New Roman"/>
                <w:color w:val="002060"/>
              </w:rPr>
              <w:t>)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ED03DC">
              <w:rPr>
                <w:rFonts w:ascii="Times New Roman" w:hAnsi="Times New Roman" w:cs="Times New Roman"/>
                <w:color w:val="002060"/>
              </w:rPr>
              <w:t>характеризует определяемую ежегодно реальную стоимость имущества юридического лица за вычетом его обязательств и рассчитывается по формуле: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D03DC"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 w:rsidRPr="00ED03DC">
              <w:rPr>
                <w:rFonts w:ascii="Times New Roman" w:hAnsi="Times New Roman" w:cs="Times New Roman"/>
                <w:color w:val="002060"/>
              </w:rPr>
              <w:t xml:space="preserve"> = А -</w:t>
            </w:r>
            <w:proofErr w:type="spellStart"/>
            <w:r w:rsidRPr="00ED03D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End"/>
            <w:r w:rsidRPr="00ED03DC">
              <w:rPr>
                <w:rFonts w:ascii="Times New Roman" w:hAnsi="Times New Roman" w:cs="Times New Roman"/>
                <w:color w:val="002060"/>
              </w:rPr>
              <w:t>(ДО + КО),</w:t>
            </w:r>
            <w:r w:rsidR="005826B8">
              <w:rPr>
                <w:rFonts w:ascii="Times New Roman" w:hAnsi="Times New Roman" w:cs="Times New Roman"/>
                <w:color w:val="002060"/>
              </w:rPr>
              <w:t xml:space="preserve"> или </w:t>
            </w:r>
            <w:proofErr w:type="spellStart"/>
            <w:r w:rsidR="005826B8"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 w:rsidR="005826B8">
              <w:rPr>
                <w:rFonts w:ascii="Times New Roman" w:hAnsi="Times New Roman" w:cs="Times New Roman"/>
                <w:color w:val="002060"/>
              </w:rPr>
              <w:t xml:space="preserve"> = стр. 3600</w:t>
            </w:r>
            <w:r w:rsidR="005826B8">
              <w:rPr>
                <w:rStyle w:val="ac"/>
                <w:rFonts w:ascii="Times New Roman" w:hAnsi="Times New Roman" w:cs="Times New Roman"/>
                <w:color w:val="002060"/>
              </w:rPr>
              <w:footnoteReference w:id="1"/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03DC">
              <w:rPr>
                <w:rFonts w:ascii="Times New Roman" w:hAnsi="Times New Roman" w:cs="Times New Roman"/>
                <w:color w:val="002060"/>
              </w:rPr>
              <w:t>где: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03DC">
              <w:rPr>
                <w:rFonts w:ascii="Times New Roman" w:hAnsi="Times New Roman" w:cs="Times New Roman"/>
                <w:color w:val="002060"/>
              </w:rPr>
              <w:t>А - все активы юридического лица, за исключением дебиторской задолженности учредителей;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03DC">
              <w:rPr>
                <w:rFonts w:ascii="Times New Roman" w:hAnsi="Times New Roman" w:cs="Times New Roman"/>
                <w:color w:val="002060"/>
              </w:rPr>
              <w:t>ДО - долгосрочные обязательства юридического лица;</w:t>
            </w:r>
          </w:p>
          <w:p w:rsid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03DC">
              <w:rPr>
                <w:rFonts w:ascii="Times New Roman" w:hAnsi="Times New Roman" w:cs="Times New Roman"/>
                <w:color w:val="002060"/>
              </w:rPr>
              <w:t>КО - краткосрочные обязательства юридического лица.</w:t>
            </w:r>
          </w:p>
          <w:p w:rsid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Для России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должен быть не менее 9 миллионов рублей.</w:t>
            </w:r>
          </w:p>
          <w:p w:rsidR="00ED5716" w:rsidRDefault="00ED5716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При соответствии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Кча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указанному уровню к подтверждению финансовой устойчивости прибавляется 30 балов.</w:t>
            </w:r>
          </w:p>
        </w:tc>
        <w:tc>
          <w:tcPr>
            <w:tcW w:w="2856" w:type="dxa"/>
          </w:tcPr>
          <w:p w:rsidR="00ED03DC" w:rsidRPr="00DE616E" w:rsidRDefault="00ED03D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03DC" w:rsidRPr="00DE616E" w:rsidTr="00177E2A">
        <w:tc>
          <w:tcPr>
            <w:tcW w:w="1321" w:type="dxa"/>
          </w:tcPr>
          <w:p w:rsidR="00ED03DC" w:rsidRDefault="00944437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3</w:t>
            </w:r>
            <w:r w:rsidR="00ED03DC">
              <w:rPr>
                <w:rFonts w:ascii="Times New Roman" w:hAnsi="Times New Roman" w:cs="Times New Roman"/>
                <w:color w:val="002060"/>
              </w:rPr>
              <w:t>.13</w:t>
            </w:r>
          </w:p>
        </w:tc>
        <w:tc>
          <w:tcPr>
            <w:tcW w:w="5929" w:type="dxa"/>
          </w:tcPr>
          <w:p w:rsid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размер уставного капитала (Кук)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Кук </w:t>
            </w:r>
            <w:r w:rsidRPr="00ED03DC">
              <w:rPr>
                <w:rFonts w:ascii="Times New Roman" w:hAnsi="Times New Roman" w:cs="Times New Roman"/>
                <w:color w:val="002060"/>
              </w:rPr>
              <w:t>характеризует размер уставного капитала, указанный в учредительных документах юридического лица, в каждом отчетном году.</w:t>
            </w:r>
          </w:p>
          <w:p w:rsidR="00ED03DC" w:rsidRDefault="00ED5716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Для России Кук</w:t>
            </w:r>
            <w:r w:rsidR="005826B8">
              <w:rPr>
                <w:rFonts w:ascii="Times New Roman" w:hAnsi="Times New Roman" w:cs="Times New Roman"/>
                <w:color w:val="002060"/>
              </w:rPr>
              <w:t xml:space="preserve"> (строка 1310 баланса) </w:t>
            </w:r>
            <w:r>
              <w:rPr>
                <w:rFonts w:ascii="Times New Roman" w:hAnsi="Times New Roman" w:cs="Times New Roman"/>
                <w:color w:val="002060"/>
              </w:rPr>
              <w:t>должен быть не менее 6 миллионов рублей</w:t>
            </w:r>
          </w:p>
          <w:p w:rsidR="00ED5716" w:rsidRDefault="00ED5716" w:rsidP="00ED57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При соответствии К</w:t>
            </w:r>
            <w:r>
              <w:rPr>
                <w:rFonts w:ascii="Times New Roman" w:hAnsi="Times New Roman" w:cs="Times New Roman"/>
                <w:color w:val="002060"/>
              </w:rPr>
              <w:t>ук</w:t>
            </w:r>
            <w:r>
              <w:rPr>
                <w:rFonts w:ascii="Times New Roman" w:hAnsi="Times New Roman" w:cs="Times New Roman"/>
                <w:color w:val="002060"/>
              </w:rPr>
              <w:t xml:space="preserve"> указанному уровню к подтверждению финансовой устойчивости прибавляется </w:t>
            </w:r>
            <w:r>
              <w:rPr>
                <w:rFonts w:ascii="Times New Roman" w:hAnsi="Times New Roman" w:cs="Times New Roman"/>
                <w:color w:val="002060"/>
              </w:rPr>
              <w:t>1</w:t>
            </w:r>
            <w:r>
              <w:rPr>
                <w:rFonts w:ascii="Times New Roman" w:hAnsi="Times New Roman" w:cs="Times New Roman"/>
                <w:color w:val="002060"/>
              </w:rPr>
              <w:t>0 балов.</w:t>
            </w:r>
          </w:p>
        </w:tc>
        <w:tc>
          <w:tcPr>
            <w:tcW w:w="2856" w:type="dxa"/>
          </w:tcPr>
          <w:p w:rsidR="00ED03DC" w:rsidRPr="00DE616E" w:rsidRDefault="00ED03D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03DC" w:rsidRPr="00DE616E" w:rsidTr="00177E2A">
        <w:tc>
          <w:tcPr>
            <w:tcW w:w="1321" w:type="dxa"/>
          </w:tcPr>
          <w:p w:rsidR="00ED03DC" w:rsidRDefault="00944437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  <w:r w:rsidR="00ED03DC">
              <w:rPr>
                <w:rFonts w:ascii="Times New Roman" w:hAnsi="Times New Roman" w:cs="Times New Roman"/>
                <w:color w:val="002060"/>
              </w:rPr>
              <w:t>.14</w:t>
            </w:r>
          </w:p>
        </w:tc>
        <w:tc>
          <w:tcPr>
            <w:tcW w:w="5929" w:type="dxa"/>
          </w:tcPr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о</w:t>
            </w:r>
            <w:r w:rsidRPr="00ED03DC">
              <w:rPr>
                <w:rFonts w:ascii="Times New Roman" w:hAnsi="Times New Roman" w:cs="Times New Roman"/>
                <w:color w:val="002060"/>
              </w:rPr>
              <w:t>статочн</w:t>
            </w:r>
            <w:r>
              <w:rPr>
                <w:rFonts w:ascii="Times New Roman" w:hAnsi="Times New Roman" w:cs="Times New Roman"/>
                <w:color w:val="002060"/>
              </w:rPr>
              <w:t>ую</w:t>
            </w:r>
            <w:r w:rsidRPr="00ED03DC">
              <w:rPr>
                <w:rFonts w:ascii="Times New Roman" w:hAnsi="Times New Roman" w:cs="Times New Roman"/>
                <w:color w:val="002060"/>
              </w:rPr>
              <w:t xml:space="preserve"> стоимость основных средств (Кос)</w:t>
            </w:r>
            <w:r>
              <w:rPr>
                <w:rFonts w:ascii="Times New Roman" w:hAnsi="Times New Roman" w:cs="Times New Roman"/>
                <w:color w:val="002060"/>
              </w:rPr>
              <w:t>,</w:t>
            </w:r>
            <w:r w:rsidRPr="00ED03DC">
              <w:rPr>
                <w:rFonts w:ascii="Times New Roman" w:hAnsi="Times New Roman" w:cs="Times New Roman"/>
                <w:color w:val="002060"/>
              </w:rPr>
              <w:t xml:space="preserve"> характеризует стоимость основных средств юридического лица за вычетом их амортизации и рассчитывается по формуле:</w:t>
            </w:r>
          </w:p>
          <w:p w:rsidR="00ED03DC" w:rsidRP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ED03DC" w:rsidRDefault="00ED03DC" w:rsidP="00ED03D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D03DC">
              <w:rPr>
                <w:rFonts w:ascii="Times New Roman" w:hAnsi="Times New Roman" w:cs="Times New Roman"/>
                <w:color w:val="002060"/>
              </w:rPr>
              <w:t xml:space="preserve">Кос = Основные средства </w:t>
            </w:r>
            <w:r w:rsidR="00ED5716">
              <w:rPr>
                <w:rFonts w:ascii="Times New Roman" w:hAnsi="Times New Roman" w:cs="Times New Roman"/>
                <w:color w:val="002060"/>
              </w:rPr>
              <w:t>–</w:t>
            </w:r>
            <w:r w:rsidRPr="00ED03DC">
              <w:rPr>
                <w:rFonts w:ascii="Times New Roman" w:hAnsi="Times New Roman" w:cs="Times New Roman"/>
                <w:color w:val="002060"/>
              </w:rPr>
              <w:t xml:space="preserve"> Амортизация</w:t>
            </w:r>
            <w:r w:rsidR="005826B8">
              <w:rPr>
                <w:rFonts w:ascii="Times New Roman" w:hAnsi="Times New Roman" w:cs="Times New Roman"/>
                <w:color w:val="002060"/>
              </w:rPr>
              <w:t xml:space="preserve"> = строка 1150 баланса</w:t>
            </w:r>
          </w:p>
          <w:p w:rsidR="00ED5716" w:rsidRDefault="00ED5716" w:rsidP="00ED57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Для России К</w:t>
            </w:r>
            <w:r>
              <w:rPr>
                <w:rFonts w:ascii="Times New Roman" w:hAnsi="Times New Roman" w:cs="Times New Roman"/>
                <w:color w:val="002060"/>
              </w:rPr>
              <w:t>ос</w:t>
            </w:r>
            <w:r>
              <w:rPr>
                <w:rFonts w:ascii="Times New Roman" w:hAnsi="Times New Roman" w:cs="Times New Roman"/>
                <w:color w:val="002060"/>
              </w:rPr>
              <w:t xml:space="preserve"> должен быть не менее 6 миллионов рублей</w:t>
            </w:r>
          </w:p>
          <w:p w:rsidR="00ED5716" w:rsidRPr="00ED03DC" w:rsidRDefault="00ED5716" w:rsidP="00ED57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При соответствии К</w:t>
            </w:r>
            <w:r>
              <w:rPr>
                <w:rFonts w:ascii="Times New Roman" w:hAnsi="Times New Roman" w:cs="Times New Roman"/>
                <w:color w:val="002060"/>
              </w:rPr>
              <w:t>ос</w:t>
            </w:r>
            <w:r>
              <w:rPr>
                <w:rFonts w:ascii="Times New Roman" w:hAnsi="Times New Roman" w:cs="Times New Roman"/>
                <w:color w:val="002060"/>
              </w:rPr>
              <w:t xml:space="preserve"> указанному уровню к подтверждению финансовой устойчивости прибавляется 10 балов.</w:t>
            </w:r>
          </w:p>
          <w:p w:rsidR="00ED03DC" w:rsidRDefault="00ED03DC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56" w:type="dxa"/>
          </w:tcPr>
          <w:p w:rsidR="00ED03DC" w:rsidRPr="00DE616E" w:rsidRDefault="00ED03D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5716" w:rsidRPr="00DE616E" w:rsidTr="0017218B">
        <w:tc>
          <w:tcPr>
            <w:tcW w:w="10106" w:type="dxa"/>
            <w:gridSpan w:val="3"/>
          </w:tcPr>
          <w:p w:rsidR="00ED5716" w:rsidRDefault="00ED5716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Относительные показатели финансовой устойчивости</w:t>
            </w:r>
          </w:p>
          <w:p w:rsidR="00847E38" w:rsidRPr="00847E38" w:rsidRDefault="00847E38" w:rsidP="00847E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47E38">
              <w:rPr>
                <w:rFonts w:ascii="Times New Roman" w:hAnsi="Times New Roman" w:cs="Times New Roman"/>
                <w:b/>
                <w:color w:val="002060"/>
              </w:rPr>
              <w:t>Значения относительных показателей финансовой устойчивости округляются с точностью до 2 знаков после запятой.</w:t>
            </w:r>
          </w:p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1C51DC">
        <w:tc>
          <w:tcPr>
            <w:tcW w:w="7250" w:type="dxa"/>
            <w:gridSpan w:val="2"/>
          </w:tcPr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Коэффициент автономии (Ка) характеризует степень независимости юридического лица от кредиторов, определяется как отношение собственного капитала к валюте (итогу) баланса и рассчитывается по формуле:</w:t>
            </w:r>
          </w:p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Коэффициент автономии (Ка) должен быть не менее 0,30.</w:t>
            </w:r>
          </w:p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Значимость показателя - 10 баллов.</w:t>
            </w:r>
          </w:p>
          <w:p w:rsidR="00847E38" w:rsidRPr="00847E38" w:rsidRDefault="00847E38" w:rsidP="00CF1F9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noProof/>
                <w:color w:val="002060"/>
                <w:position w:val="-23"/>
                <w:lang w:eastAsia="ru-RU"/>
              </w:rPr>
              <w:drawing>
                <wp:inline distT="0" distB="0" distL="0" distR="0" wp14:anchorId="577C2FC6" wp14:editId="5241B5FE">
                  <wp:extent cx="1879600" cy="4191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>
              <w:rPr>
                <w:rFonts w:ascii="Times New Roman" w:hAnsi="Times New Roman" w:cs="Times New Roman"/>
                <w:color w:val="00206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1300 баланса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1700 баланса</m:t>
                  </m:r>
                </m:den>
              </m:f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844803">
        <w:tc>
          <w:tcPr>
            <w:tcW w:w="7250" w:type="dxa"/>
            <w:gridSpan w:val="2"/>
          </w:tcPr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Коэффициент общей (текущей) ликвидности (К</w:t>
            </w:r>
            <w:r w:rsidRPr="00847E38">
              <w:rPr>
                <w:rFonts w:ascii="Times New Roman" w:hAnsi="Times New Roman" w:cs="Times New Roman"/>
                <w:color w:val="002060"/>
                <w:vertAlign w:val="subscript"/>
              </w:rPr>
              <w:t>ол</w:t>
            </w:r>
            <w:r w:rsidRPr="00847E38">
              <w:rPr>
                <w:rFonts w:ascii="Times New Roman" w:hAnsi="Times New Roman" w:cs="Times New Roman"/>
                <w:color w:val="002060"/>
              </w:rPr>
              <w:t>) характеризует способность юридического лица обеспечить свои краткосрочные обязательства за счет оборотных средств и рассчитывается по формуле:</w:t>
            </w:r>
          </w:p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Коэффициент общей (текущей) ликвидности (Кол) должен быть не менее 1,00.</w:t>
            </w:r>
          </w:p>
          <w:p w:rsidR="00847E38" w:rsidRPr="00847E38" w:rsidRDefault="00847E38" w:rsidP="00847E3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color w:val="002060"/>
              </w:rPr>
              <w:t>Значимость показателя - 10 баллов.</w:t>
            </w:r>
          </w:p>
          <w:p w:rsidR="00847E38" w:rsidRPr="00847E38" w:rsidRDefault="00847E38" w:rsidP="00CF1F98">
            <w:pPr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noProof/>
                <w:color w:val="002060"/>
                <w:position w:val="-23"/>
                <w:lang w:eastAsia="ru-RU"/>
              </w:rPr>
              <w:lastRenderedPageBreak/>
              <w:drawing>
                <wp:inline distT="0" distB="0" distL="0" distR="0" wp14:anchorId="3DEFB3CE" wp14:editId="2FD1BA35">
                  <wp:extent cx="2413000" cy="419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>
              <w:rPr>
                <w:rFonts w:ascii="Times New Roman" w:hAnsi="Times New Roman" w:cs="Times New Roman"/>
                <w:color w:val="00206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</m:den>
              </m:f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555AD8">
        <w:tc>
          <w:tcPr>
            <w:tcW w:w="7250" w:type="dxa"/>
            <w:gridSpan w:val="2"/>
          </w:tcPr>
          <w:p w:rsidR="00847E38" w:rsidRPr="00847E38" w:rsidRDefault="00847E38" w:rsidP="00847E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>Рентабельность собственного капитала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рск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характеризует отношение прибыли юридического лица к стоимости собственного капитала и рассчитывается по формуле: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Рентабельность собственного капитала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Крск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должна быть не менее 5,00 процента.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Значимость показателя - 5 баллов.</w:t>
            </w:r>
          </w:p>
          <w:p w:rsidR="00847E38" w:rsidRDefault="00847E38" w:rsidP="00CF1F9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noProof/>
                <w:position w:val="-23"/>
                <w:lang w:eastAsia="ru-RU"/>
              </w:rPr>
              <w:drawing>
                <wp:inline distT="0" distB="0" distL="0" distR="0">
                  <wp:extent cx="4114800" cy="419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>
              <w:rPr>
                <w:rFonts w:ascii="Times New Roman" w:hAnsi="Times New Roman" w:cs="Times New Roman"/>
                <w:color w:val="00206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строка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2400</m:t>
                  </m:r>
                  <m:r>
                    <w:rPr>
                      <w:rStyle w:val="ac"/>
                      <w:rFonts w:ascii="Cambria Math" w:hAnsi="Cambria Math" w:cs="Times New Roman"/>
                      <w:i/>
                      <w:color w:val="002060"/>
                    </w:rPr>
                    <w:footnoteReference w:id="2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13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 за отчетный год+строка 1300 баланса 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color w:val="00206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2060"/>
                        </w:rPr>
                        <m:t>предидущего года</m:t>
                      </m:r>
                    </m:e>
                  </m:d>
                  <m:r>
                    <w:rPr>
                      <w:rFonts w:ascii="Cambria Math" w:hAnsi="Cambria Math" w:cs="Cambria Math"/>
                      <w:color w:val="002060"/>
                      <w:lang w:val="en-US"/>
                    </w:rPr>
                    <m:t>/2</m:t>
                  </m:r>
                </m:den>
              </m:f>
              <m:r>
                <w:rPr>
                  <w:rFonts w:ascii="Cambria Math" w:hAnsi="Cambria Math" w:cs="Times New Roman"/>
                  <w:color w:val="002060"/>
                </w:rPr>
                <m:t>×100</m:t>
              </m:r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4A2AC6">
        <w:tc>
          <w:tcPr>
            <w:tcW w:w="7250" w:type="dxa"/>
            <w:gridSpan w:val="2"/>
          </w:tcPr>
          <w:p w:rsidR="00847E38" w:rsidRPr="00847E38" w:rsidRDefault="00847E38" w:rsidP="00847E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финансовой устойчивости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фу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характеризует часть активов юридического лица, которая финансируется за счет источников, которые юридическое лицо может использовать в своей деятельности длительное время, и рассчитывается по формуле: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финансовой устойчивости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Кфу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должен быть не менее 0,60.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Значимость показателя - 15 баллов.</w:t>
            </w:r>
          </w:p>
          <w:p w:rsidR="00847E38" w:rsidRPr="00CF1F98" w:rsidRDefault="00847E38" w:rsidP="00CF1F9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noProof/>
                <w:color w:val="002060"/>
                <w:position w:val="-23"/>
                <w:lang w:eastAsia="ru-RU"/>
              </w:rPr>
              <w:drawing>
                <wp:inline distT="0" distB="0" distL="0" distR="0" wp14:anchorId="7C48BDED" wp14:editId="0DAB33D2">
                  <wp:extent cx="3924300" cy="419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 w:rsidRPr="00CF1F98">
              <w:rPr>
                <w:rFonts w:ascii="Times New Roman" w:hAnsi="Times New Roman" w:cs="Times New Roman"/>
                <w:color w:val="00206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строка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1300 </m:t>
                  </m:r>
                  <m:r>
                    <w:rPr>
                      <w:rFonts w:ascii="Cambria Math" w:hAnsi="Cambria Math" w:cs="Cambria Math"/>
                      <w:color w:val="002060"/>
                    </w:rPr>
                    <m:t>баланса+строка 1400 баланса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строка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 1700 баланса</m:t>
                  </m:r>
                </m:den>
              </m:f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A32AD6">
        <w:tc>
          <w:tcPr>
            <w:tcW w:w="7250" w:type="dxa"/>
            <w:gridSpan w:val="2"/>
          </w:tcPr>
          <w:p w:rsidR="00847E38" w:rsidRPr="00847E38" w:rsidRDefault="00847E38" w:rsidP="00847E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обеспеченности текущей деятельности собственными оборотными активами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отд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характеризует отношение собственных оборотных средств юридического лица к величине его оборотных средств и рассчитывается по формуле: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обеспеченности текущей деятельности собственными оборотными активами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Котд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должен быть не менее 0,10.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Значимость показателя - 5 баллов.</w:t>
            </w:r>
          </w:p>
          <w:p w:rsidR="00847E38" w:rsidRPr="00847E38" w:rsidRDefault="00847E38" w:rsidP="00CF1F9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noProof/>
                <w:color w:val="002060"/>
                <w:position w:val="-23"/>
                <w:lang w:eastAsia="ru-RU"/>
              </w:rPr>
              <w:drawing>
                <wp:inline distT="0" distB="0" distL="0" distR="0" wp14:anchorId="7BEFC98A" wp14:editId="3913B390">
                  <wp:extent cx="2692400" cy="419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>
              <w:rPr>
                <w:rFonts w:ascii="Times New Roman" w:hAnsi="Times New Roman" w:cs="Times New Roman"/>
                <w:color w:val="00206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00 </m:t>
                  </m:r>
                  <m:r>
                    <w:rPr>
                      <w:rFonts w:ascii="Cambria Math" w:hAnsi="Cambria Math" w:cs="Cambria Math"/>
                      <w:color w:val="002060"/>
                    </w:rPr>
                    <m:t>баланса</m:t>
                  </m:r>
                  <m:r>
                    <w:rPr>
                      <w:rFonts w:ascii="Cambria Math" w:hAnsi="Cambria Math" w:cs="Cambria Math"/>
                      <w:color w:val="002060"/>
                    </w:rPr>
                    <m:t>-строка 15</m:t>
                  </m:r>
                  <m: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</m:den>
              </m:f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47E38" w:rsidRPr="00DE616E" w:rsidTr="005A0621">
        <w:tc>
          <w:tcPr>
            <w:tcW w:w="7250" w:type="dxa"/>
            <w:gridSpan w:val="2"/>
          </w:tcPr>
          <w:p w:rsidR="00847E38" w:rsidRPr="00847E38" w:rsidRDefault="00847E38" w:rsidP="00847E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маневренности собственного капитала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</w:t>
            </w: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  <w:vertAlign w:val="subscript"/>
              </w:rPr>
              <w:t>мск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характеризует способность юридического лица поддерживать уровень собственного капитала и пополнять собственные оборотные средства в случае необходимости за счет собственных источников и рассчитывается по формуле: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Коэффициент маневренности собственного капитала (</w:t>
            </w:r>
            <w:proofErr w:type="spellStart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Кмск</w:t>
            </w:r>
            <w:proofErr w:type="spellEnd"/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) должен быть не менее 0,20.</w:t>
            </w:r>
          </w:p>
          <w:p w:rsidR="00847E38" w:rsidRPr="00847E38" w:rsidRDefault="00847E38" w:rsidP="00847E38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47E3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Значимость показателя - 5 баллов.</w:t>
            </w:r>
          </w:p>
          <w:p w:rsidR="00847E38" w:rsidRPr="00847E38" w:rsidRDefault="00847E38" w:rsidP="00CF1F9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47E38">
              <w:rPr>
                <w:rFonts w:ascii="Times New Roman" w:hAnsi="Times New Roman" w:cs="Times New Roman"/>
                <w:noProof/>
                <w:color w:val="002060"/>
                <w:position w:val="-21"/>
                <w:lang w:eastAsia="ru-RU"/>
              </w:rPr>
              <w:drawing>
                <wp:inline distT="0" distB="0" distL="0" distR="0" wp14:anchorId="43DC5BAD" wp14:editId="77B5D6CF">
                  <wp:extent cx="2705100" cy="3937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F98">
              <w:rPr>
                <w:rFonts w:ascii="Times New Roman" w:hAnsi="Times New Roman" w:cs="Times New Roman"/>
                <w:color w:val="00206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206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 xml:space="preserve">строка 1200 </m:t>
                  </m:r>
                  <m:r>
                    <w:rPr>
                      <w:rFonts w:ascii="Cambria Math" w:hAnsi="Cambria Math" w:cs="Cambria Math"/>
                      <w:color w:val="002060"/>
                    </w:rPr>
                    <m:t>баланса-строка 1500 баланса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строка  1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2060"/>
                    </w:rPr>
                    <m:t>00 баланса</m:t>
                  </m:r>
                </m:den>
              </m:f>
            </m:oMath>
          </w:p>
        </w:tc>
        <w:tc>
          <w:tcPr>
            <w:tcW w:w="2856" w:type="dxa"/>
          </w:tcPr>
          <w:p w:rsidR="00847E38" w:rsidRPr="00DE616E" w:rsidRDefault="00847E38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03DC" w:rsidRPr="00DE616E" w:rsidTr="00177E2A">
        <w:tc>
          <w:tcPr>
            <w:tcW w:w="1321" w:type="dxa"/>
          </w:tcPr>
          <w:p w:rsidR="00ED03DC" w:rsidRDefault="00ED03DC" w:rsidP="00944437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</w:t>
            </w:r>
            <w:bookmarkStart w:id="0" w:name="_GoBack"/>
            <w:bookmarkEnd w:id="0"/>
          </w:p>
        </w:tc>
        <w:tc>
          <w:tcPr>
            <w:tcW w:w="5929" w:type="dxa"/>
          </w:tcPr>
          <w:p w:rsidR="00ED03DC" w:rsidRDefault="00ED03DC" w:rsidP="007D38D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тип свидетельства УЭО (первый, второй или третий), которое бы Вы хотели получить для применения специальных упрощений в таможенной деятельности:</w:t>
            </w:r>
          </w:p>
          <w:p w:rsidR="00ED03DC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ED03DC" w:rsidRPr="00D013D9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lastRenderedPageBreak/>
              <w:t>Свидетельство первого типа дает право уполномоченному экономическому оператору пользоваться следующими специальными упрощениями: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1) совершение таможенных операций, связанных с прибытием товаров на таможенную территорию Союза, убытием товаров с таможенной территории Союза, таможенным декларированием и выпуском товаров в первоочередном порядке;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2)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при помещении под таможенную процедуру таможенного транзита товаров, декларантом которых выступает уполномоченный экономический оператор, обеспечения исполнения обязанности по уплате таможенных пошлин, налогов, специальных, антидемпинговых, компенсационных пошлин в случаях, когда предоставление такого обеспечения установлено в соответствии со статьей 143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3)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уполномоченный экономический оператор, с особенностями, предусмотренными статьями 121 и 122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4) выпуск товаров до подачи декларации на товары в соответствии со статьями 120 и 441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5) проведение таможенного контроля в случае его назначения в форме таможенного осмотра или таможенного досмотра в первоочередном порядке;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6) признание таможенными органами в качестве средств идентификации пломб, наложенных уполномоченным экономическим оператором на грузовые помещения (отсеки) транспортных средств или их части. Требования к таким пломбам определяются Комиссией;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7)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неустановление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маршрута перевозки товаров в отношении товаров, перевозимых уполномоченным экономическим оператором;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8) приоритетное участие в проводимых таможенными органами пилотных проектах и экспериментах, направленных на сокращение времени и оптимизацию порядка совершения таможенных операций;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9) осуществление перевозчиком, являющимся уполномоченным экономическим оператором, разгрузки, перегрузки (перевалки) и иных грузовых операций с товарами, находящимися под таможенным контролем и вывозимыми с таможенной территории Союза, за исключением товаров, перевозимых (транспортируемых) в соответствии с таможенной процедурой таможенного транзита, а также замены транспортных средств международной перевозки, перевозящих такие товары, другими транспортными средствами, в том числе с удалением наложенных пломб и печатей, без разрешения таможенного органа, в регионе деятельности которого </w:t>
            </w:r>
            <w:r w:rsidRPr="004C2A3C">
              <w:rPr>
                <w:rFonts w:ascii="Times New Roman" w:hAnsi="Times New Roman" w:cs="Times New Roman"/>
                <w:color w:val="002060"/>
              </w:rPr>
              <w:lastRenderedPageBreak/>
              <w:t>осуществляется соответствующая операция, или без его уведомления.</w:t>
            </w:r>
          </w:p>
          <w:p w:rsidR="00ED03DC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ED03DC" w:rsidRPr="00D013D9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t>Свидетельство второго типа дает право уполномоченному экономическому оператору пользоваться следующими специальными упрощениями: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1) временное хранение в сооружениях, помещениях (частях помещений) и (или) на открытых площадках (частях открытых площадок) уполномоченного экономического оператора товаров уполномоченных экономических операторов;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2) временное хранение в сооружениях, помещениях (частях помещений) и (или) на открытых площадках (частях открытых площадок) уполномоченного экономического оператора товаров лиц, не являющихся уполномоченными экономическими операторами, если это предусмотрено законодательством государств-членов;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3) доставка товаров в зону таможенного контроля, созданную в сооружениях, помещениях (частях помещений) и (или) на открытых площадках (частях открытых площадок) уполномоченного экономического оператора, их размещение в такой зоне таможенного контроля, проведение таможенного контроля и совершение таможенных операций, связанных с завершением действия таможенной процедуры таможенного транзита, в таких сооружениях, помещениях (частях помещений) и (или) на открытых площадках (частях открытых площадок);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4) проведение таможенного контроля в сооружениях, помещениях (частях помещений) и (или) на открытых площадках (частях открытых площадок) уполномоченного экономического оператора;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5) совершение таможенных операций, связанных с таможенным декларированием и выпуском товаров, в таможенном органе, отличном от таможенного органа, в регионе деятельности которого находятся товары, если такие таможенные органы расположены на территории одного государства-члена. Законодательством государств-членов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6) проведение таможенного контроля в случае его назначения в форме таможенного осмотра или таможенного досмотра в первоочередном порядке;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7) применение уполномоченным экономическим оператором средств идентификации, используемых таможенными органами в порядке, определенном в соответствии с пунктом 7 статьи</w:t>
            </w:r>
            <w:r>
              <w:rPr>
                <w:rFonts w:ascii="Times New Roman" w:hAnsi="Times New Roman" w:cs="Times New Roman"/>
                <w:color w:val="002060"/>
              </w:rPr>
              <w:t xml:space="preserve"> 437 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8)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уполномоченный экономический оператор, с особенностями, </w:t>
            </w:r>
            <w:r w:rsidRPr="004C2A3C">
              <w:rPr>
                <w:rFonts w:ascii="Times New Roman" w:hAnsi="Times New Roman" w:cs="Times New Roman"/>
                <w:color w:val="002060"/>
              </w:rPr>
              <w:lastRenderedPageBreak/>
              <w:t xml:space="preserve">предусмотренными статьями 121 и 122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9) выпуск товаров до подачи декларации на товары в соответствии со статьями 120 и 441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D03DC" w:rsidRPr="004C2A3C" w:rsidRDefault="00ED03D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10)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59 </w:t>
            </w:r>
            <w:r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, если уполномоченный экономический оператор выступает декларантом товаров.</w:t>
            </w:r>
          </w:p>
          <w:p w:rsidR="00ED03DC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ED03DC" w:rsidRPr="00D013D9" w:rsidRDefault="00ED03D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Свидетельство третьего типа дает право уполномоченному экономическому оператору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одновременно </w:t>
            </w: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пользоваться специальными упрощениями, </w:t>
            </w:r>
            <w:r>
              <w:rPr>
                <w:rFonts w:ascii="Times New Roman" w:hAnsi="Times New Roman" w:cs="Times New Roman"/>
                <w:b/>
                <w:color w:val="002060"/>
              </w:rPr>
              <w:t>установленными</w:t>
            </w: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для свидетельств первого и второго типа (выдается компаниям, </w:t>
            </w:r>
            <w:r w:rsidRPr="00CE17D3">
              <w:rPr>
                <w:rFonts w:ascii="Times New Roman" w:hAnsi="Times New Roman" w:cs="Times New Roman"/>
                <w:b/>
                <w:color w:val="002060"/>
              </w:rPr>
              <w:t>включен</w:t>
            </w:r>
            <w:r>
              <w:rPr>
                <w:rFonts w:ascii="Times New Roman" w:hAnsi="Times New Roman" w:cs="Times New Roman"/>
                <w:b/>
                <w:color w:val="002060"/>
              </w:rPr>
              <w:t>ным</w:t>
            </w:r>
            <w:r w:rsidRPr="00CE17D3">
              <w:rPr>
                <w:rFonts w:ascii="Times New Roman" w:hAnsi="Times New Roman" w:cs="Times New Roman"/>
                <w:b/>
                <w:color w:val="002060"/>
              </w:rPr>
              <w:t xml:space="preserve"> в реестр уполномоченных экономических операторов с выдачей свидетельства первого или второго типа в течение не менее 2 лет</w:t>
            </w:r>
            <w:r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ED03DC" w:rsidRDefault="00ED03DC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56" w:type="dxa"/>
          </w:tcPr>
          <w:p w:rsidR="00ED03DC" w:rsidRPr="00DE616E" w:rsidRDefault="00ED03D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D03DC" w:rsidRPr="00DE616E" w:rsidTr="00177E2A">
        <w:tc>
          <w:tcPr>
            <w:tcW w:w="1321" w:type="dxa"/>
          </w:tcPr>
          <w:p w:rsidR="00ED03DC" w:rsidRDefault="00ED03DC" w:rsidP="00755E18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929" w:type="dxa"/>
          </w:tcPr>
          <w:p w:rsidR="00ED03DC" w:rsidRPr="007D38D2" w:rsidRDefault="00ED03DC" w:rsidP="007D38D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56" w:type="dxa"/>
          </w:tcPr>
          <w:p w:rsidR="00ED03DC" w:rsidRPr="00DE616E" w:rsidRDefault="00ED03D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A7724D" w:rsidRP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724D" w:rsidRPr="00A7724D" w:rsidSect="009F0585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59" w:rsidRDefault="00F41E59" w:rsidP="008C01FE">
      <w:pPr>
        <w:spacing w:after="0" w:line="240" w:lineRule="auto"/>
      </w:pPr>
      <w:r>
        <w:separator/>
      </w:r>
    </w:p>
  </w:endnote>
  <w:endnote w:type="continuationSeparator" w:id="0">
    <w:p w:rsidR="00F41E59" w:rsidRDefault="00F41E59" w:rsidP="008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59" w:rsidRDefault="00F41E59" w:rsidP="008C01FE">
      <w:pPr>
        <w:spacing w:after="0" w:line="240" w:lineRule="auto"/>
      </w:pPr>
      <w:r>
        <w:separator/>
      </w:r>
    </w:p>
  </w:footnote>
  <w:footnote w:type="continuationSeparator" w:id="0">
    <w:p w:rsidR="00F41E59" w:rsidRDefault="00F41E59" w:rsidP="008C01FE">
      <w:pPr>
        <w:spacing w:after="0" w:line="240" w:lineRule="auto"/>
      </w:pPr>
      <w:r>
        <w:continuationSeparator/>
      </w:r>
    </w:p>
  </w:footnote>
  <w:footnote w:id="1">
    <w:p w:rsidR="005826B8" w:rsidRPr="005826B8" w:rsidRDefault="005826B8">
      <w:pPr>
        <w:pStyle w:val="aa"/>
        <w:rPr>
          <w:rFonts w:ascii="Times New Roman" w:hAnsi="Times New Roman" w:cs="Times New Roman"/>
          <w:b/>
        </w:rPr>
      </w:pPr>
      <w:r>
        <w:rPr>
          <w:rStyle w:val="ac"/>
        </w:rPr>
        <w:footnoteRef/>
      </w:r>
      <w:r>
        <w:t xml:space="preserve"> </w:t>
      </w:r>
      <w:r w:rsidRPr="005826B8">
        <w:rPr>
          <w:rFonts w:ascii="Times New Roman" w:hAnsi="Times New Roman" w:cs="Times New Roman"/>
          <w:b/>
        </w:rPr>
        <w:t>КОД СТРОКИ ФОРМЫ ОТЧЕТА ОБ ИЗМЕНЕНИЯХ КАПИТАЛА, УТВЕРЖДЕННОЙ ПРИКАЗОМ МИНИСТРЕТСТВА ФИНАНСОВ РОССИЙСКОЙ ФЕДЕРАЦИИ ОТ 2 ИЮЛЯ 2010 ГОДА № 66Н.</w:t>
      </w:r>
    </w:p>
  </w:footnote>
  <w:footnote w:id="2">
    <w:p w:rsidR="00CF1F98" w:rsidRDefault="00CF1F98">
      <w:pPr>
        <w:pStyle w:val="aa"/>
      </w:pPr>
      <w:r>
        <w:rPr>
          <w:rStyle w:val="ac"/>
        </w:rPr>
        <w:footnoteRef/>
      </w:r>
      <w:r>
        <w:t xml:space="preserve"> КОД СТРОКИ ФОРМЫ ОТЧЕТА О ФИНАНСОВЫХ РЕЗУЛЬТАТАХ, УТВЕРЖДЕННОЙ ПРИКАЗОМ МИНИСТЕРСТВА ФИНАНСОВ РОССИЙСКОЙ ФЕДЕРАЦИИ ОТ 2 ИЮЛЯ 2010 ГОДА № 66н.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E" w:rsidRDefault="008C01FE">
    <w:pPr>
      <w:pStyle w:val="a3"/>
    </w:pPr>
    <w:r w:rsidRPr="00E1541E">
      <w:rPr>
        <w:noProof/>
        <w:lang w:eastAsia="ru-RU"/>
      </w:rPr>
      <w:drawing>
        <wp:inline distT="0" distB="0" distL="0" distR="0">
          <wp:extent cx="723900" cy="556129"/>
          <wp:effectExtent l="0" t="0" r="0" b="0"/>
          <wp:docPr id="1" name="Рисунок 1" descr="Лого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2" cy="56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9D5"/>
    <w:multiLevelType w:val="hybridMultilevel"/>
    <w:tmpl w:val="33F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2FDD"/>
    <w:multiLevelType w:val="hybridMultilevel"/>
    <w:tmpl w:val="B99C0870"/>
    <w:lvl w:ilvl="0" w:tplc="F03E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54D34"/>
    <w:multiLevelType w:val="multilevel"/>
    <w:tmpl w:val="7B0A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A"/>
    <w:rsid w:val="00135C79"/>
    <w:rsid w:val="0013753F"/>
    <w:rsid w:val="00160D44"/>
    <w:rsid w:val="00177E2A"/>
    <w:rsid w:val="003312E3"/>
    <w:rsid w:val="003F01D4"/>
    <w:rsid w:val="00406252"/>
    <w:rsid w:val="004C2A3C"/>
    <w:rsid w:val="005826B8"/>
    <w:rsid w:val="00597FBE"/>
    <w:rsid w:val="006F4465"/>
    <w:rsid w:val="00722485"/>
    <w:rsid w:val="00755E18"/>
    <w:rsid w:val="007D38D2"/>
    <w:rsid w:val="00817A94"/>
    <w:rsid w:val="008310B8"/>
    <w:rsid w:val="00847E38"/>
    <w:rsid w:val="008B3CC2"/>
    <w:rsid w:val="008C01FE"/>
    <w:rsid w:val="00930A61"/>
    <w:rsid w:val="00944437"/>
    <w:rsid w:val="00984043"/>
    <w:rsid w:val="00996F55"/>
    <w:rsid w:val="009F0585"/>
    <w:rsid w:val="00A7724D"/>
    <w:rsid w:val="00AB61D5"/>
    <w:rsid w:val="00B13B4F"/>
    <w:rsid w:val="00BB6B00"/>
    <w:rsid w:val="00C31229"/>
    <w:rsid w:val="00CA44DF"/>
    <w:rsid w:val="00CE17D3"/>
    <w:rsid w:val="00CF1F98"/>
    <w:rsid w:val="00D013D9"/>
    <w:rsid w:val="00DD6F24"/>
    <w:rsid w:val="00DE616E"/>
    <w:rsid w:val="00E042EA"/>
    <w:rsid w:val="00E14787"/>
    <w:rsid w:val="00EB65A6"/>
    <w:rsid w:val="00ED03DC"/>
    <w:rsid w:val="00ED5716"/>
    <w:rsid w:val="00EE4915"/>
    <w:rsid w:val="00F36671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C3A"/>
  <w15:chartTrackingRefBased/>
  <w15:docId w15:val="{05254C90-EBED-4A32-9BE0-1D12234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FE"/>
  </w:style>
  <w:style w:type="paragraph" w:styleId="a5">
    <w:name w:val="footer"/>
    <w:basedOn w:val="a"/>
    <w:link w:val="a6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FE"/>
  </w:style>
  <w:style w:type="table" w:styleId="a7">
    <w:name w:val="Table Grid"/>
    <w:basedOn w:val="a1"/>
    <w:uiPriority w:val="39"/>
    <w:rsid w:val="00A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Light List"/>
    <w:basedOn w:val="a1"/>
    <w:uiPriority w:val="61"/>
    <w:rsid w:val="004062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Grid Table 4"/>
    <w:basedOn w:val="a1"/>
    <w:uiPriority w:val="49"/>
    <w:rsid w:val="004062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DE61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">
    <w:name w:val="Plain Table 5"/>
    <w:basedOn w:val="a1"/>
    <w:uiPriority w:val="45"/>
    <w:rsid w:val="00DE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AB61D5"/>
    <w:pPr>
      <w:ind w:left="720"/>
      <w:contextualSpacing/>
    </w:pPr>
  </w:style>
  <w:style w:type="paragraph" w:customStyle="1" w:styleId="ConsPlusNormal">
    <w:name w:val="ConsPlusNormal"/>
    <w:rsid w:val="0084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26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26B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2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4F0B-BD6A-4D9C-A96D-40CCBA9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2018-03-09T14:00:00Z</dcterms:created>
  <dcterms:modified xsi:type="dcterms:W3CDTF">2018-03-09T19:57:00Z</dcterms:modified>
</cp:coreProperties>
</file>